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1276"/>
        <w:gridCol w:w="7799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700" w:lineRule="exact"/>
              <w:jc w:val="both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spacing w:line="700" w:lineRule="exact"/>
              <w:jc w:val="center"/>
              <w:rPr>
                <w:rFonts w:ascii="华文中宋" w:hAnsi="华文中宋" w:eastAsia="华文中宋" w:cs="方正小标宋简体"/>
                <w:b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方正小标宋简体"/>
                <w:b/>
                <w:bCs/>
                <w:kern w:val="0"/>
                <w:sz w:val="44"/>
                <w:szCs w:val="44"/>
              </w:rPr>
              <w:t>项目</w:t>
            </w:r>
            <w:r>
              <w:rPr>
                <w:rFonts w:hint="eastAsia" w:ascii="华文中宋" w:hAnsi="华文中宋" w:eastAsia="华文中宋" w:cs="方正小标宋简体"/>
                <w:b/>
                <w:bCs/>
                <w:kern w:val="0"/>
                <w:sz w:val="44"/>
                <w:szCs w:val="44"/>
                <w:lang w:eastAsia="zh-CN"/>
              </w:rPr>
              <w:t>报价</w:t>
            </w:r>
            <w:r>
              <w:rPr>
                <w:rFonts w:hint="eastAsia" w:ascii="华文中宋" w:hAnsi="华文中宋" w:eastAsia="华文中宋" w:cs="方正小标宋简体"/>
                <w:b/>
                <w:bCs/>
                <w:kern w:val="0"/>
                <w:sz w:val="44"/>
                <w:szCs w:val="44"/>
              </w:rPr>
              <w:t>综合评</w:t>
            </w:r>
            <w:r>
              <w:rPr>
                <w:rFonts w:hint="eastAsia" w:ascii="华文中宋" w:hAnsi="华文中宋" w:eastAsia="华文中宋" w:cs="方正小标宋简体"/>
                <w:b/>
                <w:bCs/>
                <w:kern w:val="0"/>
                <w:sz w:val="44"/>
                <w:szCs w:val="44"/>
                <w:lang w:eastAsia="zh-CN"/>
              </w:rPr>
              <w:t>分</w:t>
            </w:r>
            <w:r>
              <w:rPr>
                <w:rFonts w:hint="eastAsia" w:ascii="华文中宋" w:hAnsi="华文中宋" w:eastAsia="华文中宋" w:cs="方正小标宋简体"/>
                <w:b/>
                <w:bCs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7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人：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评审项目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分值(分)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评审标准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报价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（权重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0%）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各合格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人的报价按下列方法计算得分：以按招标文件规定的所有合格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人的评标价的最低价作为评分基准价。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人的价格分按下式计算：价格分=（评分基准价/评标价）×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商务部分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（权重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%）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报价人资质要求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业绩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：根据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年至今承办过市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以上政府部门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法律服务项目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。（提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加盖报价人公章的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中标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通知书或合同复印件）提供一个得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分，不提供不得分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，满分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业务能力：具备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专业法律服务经验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。提供项目照片、案例为证，满分20分。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资源提供能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力：提供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法律服务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资源情况，承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诺为主办方所用。按提供资源情况（照片或案例或说明）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进行综合比较打分。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优：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报价</w:t>
            </w:r>
            <w:r>
              <w:rPr>
                <w:rFonts w:hint="eastAsia" w:ascii="宋体" w:hAnsi="宋体"/>
                <w:color w:val="000000"/>
                <w:szCs w:val="21"/>
              </w:rPr>
              <w:t>人的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法律服务资源丰富、多样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，有利于项目实施，</w:t>
            </w:r>
            <w:r>
              <w:rPr>
                <w:rFonts w:hint="eastAsia" w:ascii="宋体" w:hAnsi="宋体"/>
                <w:color w:val="000000"/>
                <w:szCs w:val="21"/>
              </w:rPr>
              <w:t>得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Cs w:val="21"/>
              </w:rPr>
              <w:t>分；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良：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报价</w:t>
            </w:r>
            <w:r>
              <w:rPr>
                <w:rFonts w:hint="eastAsia" w:ascii="宋体" w:hAnsi="宋体"/>
                <w:color w:val="000000"/>
                <w:szCs w:val="21"/>
              </w:rPr>
              <w:t>人的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法律服务资源较丰富、多样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，比较有利于项目实施，</w:t>
            </w:r>
            <w:r>
              <w:rPr>
                <w:rFonts w:hint="eastAsia" w:ascii="宋体" w:hAnsi="宋体"/>
                <w:color w:val="000000"/>
                <w:szCs w:val="21"/>
              </w:rPr>
              <w:t>得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分；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报价</w:t>
            </w:r>
            <w:r>
              <w:rPr>
                <w:rFonts w:hint="eastAsia" w:ascii="宋体" w:hAnsi="宋体"/>
                <w:color w:val="000000"/>
                <w:szCs w:val="21"/>
              </w:rPr>
              <w:t>人的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法律服务资源一般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，对项目实施有一定帮助，</w:t>
            </w:r>
            <w:r>
              <w:rPr>
                <w:rFonts w:hint="eastAsia" w:ascii="宋体" w:hAnsi="宋体"/>
                <w:color w:val="000000"/>
                <w:szCs w:val="21"/>
              </w:rPr>
              <w:t>得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分；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差：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报价</w:t>
            </w:r>
            <w:r>
              <w:rPr>
                <w:rFonts w:hint="eastAsia" w:ascii="宋体" w:hAnsi="宋体"/>
                <w:color w:val="000000"/>
                <w:szCs w:val="21"/>
              </w:rPr>
              <w:t>人的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法律服务资源很少且单一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，对项目实施帮助不大，</w:t>
            </w:r>
            <w:r>
              <w:rPr>
                <w:rFonts w:hint="eastAsia" w:ascii="宋体" w:hAnsi="宋体"/>
                <w:color w:val="000000"/>
                <w:szCs w:val="21"/>
              </w:rPr>
              <w:t>得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技术部分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（权重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%）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项目设计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方案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实施安排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99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报价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人为本项目提供的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方案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color w:val="000000"/>
                <w:kern w:val="0"/>
                <w:sz w:val="22"/>
                <w:lang w:eastAsia="zh-CN"/>
              </w:rPr>
              <w:t>对方案中项目主题、计划安排、服务明细、预期效果</w:t>
            </w:r>
            <w:r>
              <w:rPr>
                <w:rFonts w:hint="eastAsia"/>
                <w:color w:val="000000"/>
                <w:kern w:val="0"/>
                <w:sz w:val="22"/>
              </w:rPr>
              <w:t>评估等</w:t>
            </w:r>
            <w:r>
              <w:rPr>
                <w:rFonts w:hint="eastAsia"/>
                <w:color w:val="000000"/>
                <w:kern w:val="0"/>
                <w:sz w:val="22"/>
                <w:lang w:eastAsia="zh-CN"/>
              </w:rPr>
              <w:t>内容进行综合比较打分</w:t>
            </w:r>
            <w:r>
              <w:rPr>
                <w:rFonts w:hint="eastAsia"/>
                <w:color w:val="000000"/>
                <w:kern w:val="0"/>
                <w:sz w:val="22"/>
              </w:rPr>
              <w:t>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优：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报价</w:t>
            </w:r>
            <w:r>
              <w:rPr>
                <w:rFonts w:hint="eastAsia" w:ascii="宋体" w:hAnsi="宋体"/>
                <w:color w:val="000000"/>
                <w:szCs w:val="21"/>
              </w:rPr>
              <w:t>人的项目方案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紧扣主题、计划完善、预期效果好，</w:t>
            </w:r>
            <w:r>
              <w:rPr>
                <w:rFonts w:hint="eastAsia" w:ascii="宋体" w:hAnsi="宋体"/>
                <w:color w:val="000000"/>
                <w:szCs w:val="21"/>
              </w:rPr>
              <w:t>得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/>
                <w:color w:val="000000"/>
                <w:szCs w:val="21"/>
              </w:rPr>
              <w:t>分；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良：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报价</w:t>
            </w:r>
            <w:r>
              <w:rPr>
                <w:rFonts w:hint="eastAsia" w:ascii="宋体" w:hAnsi="宋体"/>
                <w:color w:val="000000"/>
                <w:szCs w:val="21"/>
              </w:rPr>
              <w:t>人的项目方案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紧扣主题、计划较完善、预期效果较好，</w:t>
            </w:r>
            <w:r>
              <w:rPr>
                <w:rFonts w:hint="eastAsia" w:ascii="宋体" w:hAnsi="宋体"/>
                <w:color w:val="000000"/>
                <w:szCs w:val="21"/>
              </w:rPr>
              <w:t>得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szCs w:val="21"/>
              </w:rPr>
              <w:t>分；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报价</w:t>
            </w:r>
            <w:r>
              <w:rPr>
                <w:rFonts w:hint="eastAsia" w:ascii="宋体" w:hAnsi="宋体"/>
                <w:color w:val="000000"/>
                <w:szCs w:val="21"/>
              </w:rPr>
              <w:t>人的项目方案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较能紧扣主题、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计划性、预期效果一般，</w:t>
            </w:r>
            <w:r>
              <w:rPr>
                <w:rFonts w:hint="eastAsia" w:ascii="宋体" w:hAnsi="宋体"/>
                <w:color w:val="000000"/>
                <w:szCs w:val="21"/>
              </w:rPr>
              <w:t>得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分；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差：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报价</w:t>
            </w:r>
            <w:r>
              <w:rPr>
                <w:rFonts w:hint="eastAsia" w:ascii="宋体" w:hAnsi="宋体"/>
                <w:color w:val="000000"/>
                <w:szCs w:val="21"/>
              </w:rPr>
              <w:t>人的项目方案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未能紧扣主题、计划性、预期效果较差，</w:t>
            </w:r>
            <w:r>
              <w:rPr>
                <w:rFonts w:hint="eastAsia" w:ascii="宋体" w:hAnsi="宋体"/>
                <w:color w:val="000000"/>
                <w:szCs w:val="21"/>
              </w:rPr>
              <w:t>得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Cs w:val="21"/>
              </w:rPr>
              <w:t>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  计</w:t>
            </w:r>
          </w:p>
        </w:tc>
        <w:tc>
          <w:tcPr>
            <w:tcW w:w="1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C2C1E"/>
    <w:rsid w:val="57D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widowControl/>
      <w:spacing w:after="120"/>
      <w:jc w:val="left"/>
    </w:pPr>
    <w:rPr>
      <w:rFonts w:ascii="Times New Roman" w:hAnsi="Times New Roman"/>
      <w:kern w:val="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2021-09-13T09:54:00Z</dcterms:created>
  <dc:creator>admin</dc:creator>
  <cp:lastModifiedBy>赖声圣</cp:lastModifiedBy>
  <dcterms:modified xsi:type="dcterms:W3CDTF">2022-03-24T03:14:46Z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