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108" w:type="dxa"/>
        <w:tblLayout w:type="fixed"/>
        <w:tblCellMar>
          <w:top w:w="0" w:type="dxa"/>
          <w:left w:w="108" w:type="dxa"/>
          <w:bottom w:w="0" w:type="dxa"/>
          <w:right w:w="108" w:type="dxa"/>
        </w:tblCellMar>
      </w:tblPr>
      <w:tblGrid>
        <w:gridCol w:w="1418"/>
        <w:gridCol w:w="1984"/>
        <w:gridCol w:w="1276"/>
        <w:gridCol w:w="7799"/>
        <w:gridCol w:w="1557"/>
      </w:tblGrid>
      <w:tr>
        <w:tblPrEx>
          <w:tblCellMar>
            <w:top w:w="0" w:type="dxa"/>
            <w:left w:w="108" w:type="dxa"/>
            <w:bottom w:w="0" w:type="dxa"/>
            <w:right w:w="108" w:type="dxa"/>
          </w:tblCellMar>
        </w:tblPrEx>
        <w:trPr>
          <w:cantSplit/>
          <w:trHeight w:val="1112" w:hRule="atLeast"/>
        </w:trPr>
        <w:tc>
          <w:tcPr>
            <w:tcW w:w="14034" w:type="dxa"/>
            <w:gridSpan w:val="5"/>
            <w:tcBorders>
              <w:top w:val="nil"/>
              <w:left w:val="nil"/>
              <w:bottom w:val="nil"/>
              <w:right w:val="nil"/>
            </w:tcBorders>
            <w:noWrap w:val="0"/>
            <w:vAlign w:val="center"/>
          </w:tcPr>
          <w:p>
            <w:pPr>
              <w:widowControl/>
              <w:spacing w:line="700" w:lineRule="exact"/>
              <w:jc w:val="both"/>
              <w:rPr>
                <w:rFonts w:hint="eastAsia" w:ascii="黑体" w:hAnsi="黑体" w:eastAsia="黑体" w:cs="黑体"/>
                <w:b w:val="0"/>
                <w:bCs/>
                <w:sz w:val="44"/>
                <w:szCs w:val="44"/>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widowControl/>
              <w:spacing w:line="700" w:lineRule="exact"/>
              <w:jc w:val="center"/>
              <w:rPr>
                <w:rFonts w:ascii="华文中宋" w:hAnsi="华文中宋" w:eastAsia="华文中宋" w:cs="方正小标宋简体"/>
                <w:b/>
                <w:sz w:val="44"/>
                <w:szCs w:val="44"/>
              </w:rPr>
            </w:pPr>
            <w:r>
              <w:rPr>
                <w:rFonts w:hint="eastAsia" w:ascii="华文中宋" w:hAnsi="华文中宋" w:eastAsia="华文中宋" w:cs="方正小标宋简体"/>
                <w:b/>
                <w:bCs/>
                <w:kern w:val="0"/>
                <w:sz w:val="44"/>
                <w:szCs w:val="44"/>
              </w:rPr>
              <w:t>项目</w:t>
            </w:r>
            <w:r>
              <w:rPr>
                <w:rFonts w:hint="eastAsia" w:ascii="华文中宋" w:hAnsi="华文中宋" w:eastAsia="华文中宋" w:cs="方正小标宋简体"/>
                <w:b/>
                <w:bCs/>
                <w:kern w:val="0"/>
                <w:sz w:val="44"/>
                <w:szCs w:val="44"/>
                <w:lang w:eastAsia="zh-CN"/>
              </w:rPr>
              <w:t>报价</w:t>
            </w:r>
            <w:r>
              <w:rPr>
                <w:rFonts w:hint="eastAsia" w:ascii="华文中宋" w:hAnsi="华文中宋" w:eastAsia="华文中宋" w:cs="方正小标宋简体"/>
                <w:b/>
                <w:bCs/>
                <w:kern w:val="0"/>
                <w:sz w:val="44"/>
                <w:szCs w:val="44"/>
              </w:rPr>
              <w:t>综合评</w:t>
            </w:r>
            <w:r>
              <w:rPr>
                <w:rFonts w:hint="eastAsia" w:ascii="华文中宋" w:hAnsi="华文中宋" w:eastAsia="华文中宋" w:cs="方正小标宋简体"/>
                <w:b/>
                <w:bCs/>
                <w:kern w:val="0"/>
                <w:sz w:val="44"/>
                <w:szCs w:val="44"/>
                <w:lang w:eastAsia="zh-CN"/>
              </w:rPr>
              <w:t>分</w:t>
            </w:r>
            <w:r>
              <w:rPr>
                <w:rFonts w:hint="eastAsia" w:ascii="华文中宋" w:hAnsi="华文中宋" w:eastAsia="华文中宋" w:cs="方正小标宋简体"/>
                <w:b/>
                <w:bCs/>
                <w:kern w:val="0"/>
                <w:sz w:val="44"/>
                <w:szCs w:val="44"/>
              </w:rPr>
              <w:t>表</w:t>
            </w:r>
          </w:p>
        </w:tc>
      </w:tr>
      <w:tr>
        <w:tblPrEx>
          <w:tblCellMar>
            <w:top w:w="0" w:type="dxa"/>
            <w:left w:w="108" w:type="dxa"/>
            <w:bottom w:w="0" w:type="dxa"/>
            <w:right w:w="108" w:type="dxa"/>
          </w:tblCellMar>
        </w:tblPrEx>
        <w:trPr>
          <w:cantSplit/>
          <w:trHeight w:val="435" w:hRule="atLeast"/>
        </w:trPr>
        <w:tc>
          <w:tcPr>
            <w:tcW w:w="12477" w:type="dxa"/>
            <w:gridSpan w:val="4"/>
            <w:tcBorders>
              <w:top w:val="nil"/>
              <w:left w:val="nil"/>
              <w:bottom w:val="single" w:color="000000" w:sz="4" w:space="0"/>
              <w:right w:val="nil"/>
            </w:tcBorders>
            <w:noWrap w:val="0"/>
            <w:vAlign w:val="center"/>
          </w:tcPr>
          <w:p>
            <w:pPr>
              <w:widowControl/>
              <w:spacing w:line="400" w:lineRule="exact"/>
              <w:jc w:val="left"/>
              <w:rPr>
                <w:rFonts w:ascii="宋体" w:hAnsi="宋体" w:cs="宋体"/>
                <w:kern w:val="0"/>
                <w:sz w:val="24"/>
                <w:szCs w:val="24"/>
              </w:rPr>
            </w:pPr>
          </w:p>
          <w:p>
            <w:pPr>
              <w:widowControl/>
              <w:spacing w:line="400" w:lineRule="exact"/>
              <w:jc w:val="left"/>
              <w:rPr>
                <w:rFonts w:hint="eastAsia" w:ascii="宋体" w:hAnsi="宋体" w:cs="宋体"/>
                <w:kern w:val="0"/>
                <w:sz w:val="24"/>
                <w:szCs w:val="24"/>
              </w:rPr>
            </w:pPr>
            <w:r>
              <w:rPr>
                <w:rFonts w:hint="eastAsia" w:ascii="宋体" w:hAnsi="宋体" w:cs="宋体"/>
                <w:kern w:val="0"/>
                <w:sz w:val="24"/>
                <w:szCs w:val="24"/>
                <w:lang w:eastAsia="zh-CN"/>
              </w:rPr>
              <w:t>报价</w:t>
            </w:r>
            <w:r>
              <w:rPr>
                <w:rFonts w:hint="eastAsia" w:ascii="宋体" w:hAnsi="宋体" w:cs="宋体"/>
                <w:kern w:val="0"/>
                <w:sz w:val="24"/>
                <w:szCs w:val="24"/>
              </w:rPr>
              <w:t>人：</w:t>
            </w:r>
          </w:p>
        </w:tc>
        <w:tc>
          <w:tcPr>
            <w:tcW w:w="1557" w:type="dxa"/>
            <w:tcBorders>
              <w:top w:val="nil"/>
              <w:left w:val="nil"/>
              <w:bottom w:val="nil"/>
              <w:right w:val="nil"/>
            </w:tcBorders>
            <w:noWrap w:val="0"/>
            <w:vAlign w:val="top"/>
          </w:tcPr>
          <w:p>
            <w:pPr>
              <w:widowControl/>
              <w:spacing w:line="400" w:lineRule="exact"/>
              <w:jc w:val="left"/>
              <w:rPr>
                <w:rFonts w:hint="eastAsia" w:ascii="宋体" w:hAnsi="宋体" w:cs="宋体"/>
                <w:kern w:val="0"/>
                <w:sz w:val="24"/>
                <w:szCs w:val="24"/>
              </w:rPr>
            </w:pPr>
          </w:p>
        </w:tc>
      </w:tr>
      <w:tr>
        <w:tblPrEx>
          <w:tblCellMar>
            <w:top w:w="0" w:type="dxa"/>
            <w:left w:w="108" w:type="dxa"/>
            <w:bottom w:w="0" w:type="dxa"/>
            <w:right w:w="108" w:type="dxa"/>
          </w:tblCellMar>
        </w:tblPrEx>
        <w:trPr>
          <w:cantSplit/>
          <w:trHeight w:val="420" w:hRule="atLeast"/>
        </w:trPr>
        <w:tc>
          <w:tcPr>
            <w:tcW w:w="340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评审项目</w:t>
            </w:r>
          </w:p>
        </w:tc>
        <w:tc>
          <w:tcPr>
            <w:tcW w:w="1276" w:type="dxa"/>
            <w:tcBorders>
              <w:top w:val="nil"/>
              <w:left w:val="nil"/>
              <w:bottom w:val="single" w:color="000000" w:sz="4" w:space="0"/>
              <w:right w:val="single" w:color="000000" w:sz="4" w:space="0"/>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分值(分)</w:t>
            </w:r>
          </w:p>
        </w:tc>
        <w:tc>
          <w:tcPr>
            <w:tcW w:w="7799" w:type="dxa"/>
            <w:tcBorders>
              <w:top w:val="nil"/>
              <w:left w:val="nil"/>
              <w:bottom w:val="single" w:color="000000" w:sz="4" w:space="0"/>
              <w:right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评审标准</w:t>
            </w:r>
          </w:p>
        </w:tc>
        <w:tc>
          <w:tcPr>
            <w:tcW w:w="1557"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得分</w:t>
            </w:r>
          </w:p>
        </w:tc>
      </w:tr>
      <w:tr>
        <w:tblPrEx>
          <w:tblCellMar>
            <w:top w:w="0" w:type="dxa"/>
            <w:left w:w="108" w:type="dxa"/>
            <w:bottom w:w="0" w:type="dxa"/>
            <w:right w:w="108" w:type="dxa"/>
          </w:tblCellMar>
        </w:tblPrEx>
        <w:trPr>
          <w:cantSplit/>
          <w:trHeight w:val="90" w:hRule="atLeast"/>
        </w:trPr>
        <w:tc>
          <w:tcPr>
            <w:tcW w:w="340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报价</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（权重</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0%）</w:t>
            </w:r>
          </w:p>
        </w:tc>
        <w:tc>
          <w:tcPr>
            <w:tcW w:w="127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10</w:t>
            </w:r>
          </w:p>
        </w:tc>
        <w:tc>
          <w:tcPr>
            <w:tcW w:w="7799" w:type="dxa"/>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各合格</w:t>
            </w:r>
            <w:r>
              <w:rPr>
                <w:rFonts w:hint="eastAsia" w:ascii="宋体" w:hAnsi="宋体" w:eastAsia="宋体" w:cs="宋体"/>
                <w:color w:val="auto"/>
                <w:kern w:val="0"/>
                <w:sz w:val="21"/>
                <w:szCs w:val="21"/>
                <w:lang w:eastAsia="zh-CN"/>
              </w:rPr>
              <w:t>报价</w:t>
            </w:r>
            <w:r>
              <w:rPr>
                <w:rFonts w:hint="eastAsia" w:ascii="宋体" w:hAnsi="宋体" w:eastAsia="宋体" w:cs="宋体"/>
                <w:color w:val="auto"/>
                <w:kern w:val="0"/>
                <w:sz w:val="21"/>
                <w:szCs w:val="21"/>
              </w:rPr>
              <w:t>人的报价按下列方法计算得分：以按招标文件规定的所有合格</w:t>
            </w:r>
            <w:r>
              <w:rPr>
                <w:rFonts w:hint="eastAsia" w:ascii="宋体" w:hAnsi="宋体" w:eastAsia="宋体" w:cs="宋体"/>
                <w:color w:val="auto"/>
                <w:kern w:val="0"/>
                <w:sz w:val="21"/>
                <w:szCs w:val="21"/>
                <w:lang w:eastAsia="zh-CN"/>
              </w:rPr>
              <w:t>报价</w:t>
            </w:r>
            <w:r>
              <w:rPr>
                <w:rFonts w:hint="eastAsia" w:ascii="宋体" w:hAnsi="宋体" w:eastAsia="宋体" w:cs="宋体"/>
                <w:color w:val="auto"/>
                <w:kern w:val="0"/>
                <w:sz w:val="21"/>
                <w:szCs w:val="21"/>
              </w:rPr>
              <w:t>人的评标价的最低价作为评分基准价。</w:t>
            </w:r>
            <w:r>
              <w:rPr>
                <w:rFonts w:hint="eastAsia" w:ascii="宋体" w:hAnsi="宋体" w:eastAsia="宋体" w:cs="宋体"/>
                <w:color w:val="auto"/>
                <w:kern w:val="0"/>
                <w:sz w:val="21"/>
                <w:szCs w:val="21"/>
                <w:lang w:eastAsia="zh-CN"/>
              </w:rPr>
              <w:t>报价</w:t>
            </w:r>
            <w:r>
              <w:rPr>
                <w:rFonts w:hint="eastAsia" w:ascii="宋体" w:hAnsi="宋体" w:eastAsia="宋体" w:cs="宋体"/>
                <w:color w:val="auto"/>
                <w:kern w:val="0"/>
                <w:sz w:val="21"/>
                <w:szCs w:val="21"/>
              </w:rPr>
              <w:t>人的价格分按下式计算：价格分=（评分基准价/评标价）×</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0</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p>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832" w:hRule="atLeast"/>
        </w:trPr>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商务部分</w:t>
            </w:r>
          </w:p>
          <w:p>
            <w:pPr>
              <w:widowControl/>
              <w:jc w:val="center"/>
              <w:rPr>
                <w:rFonts w:hint="eastAsia" w:ascii="宋体" w:hAnsi="宋体" w:eastAsia="宋体" w:cs="宋体"/>
                <w:color w:val="auto"/>
                <w:sz w:val="21"/>
                <w:szCs w:val="21"/>
              </w:rPr>
            </w:pPr>
            <w:r>
              <w:rPr>
                <w:rFonts w:hint="eastAsia" w:ascii="宋体" w:hAnsi="宋体" w:eastAsia="宋体" w:cs="宋体"/>
                <w:kern w:val="0"/>
                <w:sz w:val="21"/>
                <w:szCs w:val="21"/>
              </w:rPr>
              <w:t>（权重</w:t>
            </w:r>
            <w:r>
              <w:rPr>
                <w:rFonts w:hint="eastAsia" w:ascii="宋体" w:hAnsi="宋体" w:eastAsia="宋体" w:cs="宋体"/>
                <w:kern w:val="0"/>
                <w:sz w:val="21"/>
                <w:szCs w:val="21"/>
                <w:lang w:val="en-US" w:eastAsia="zh-CN"/>
              </w:rPr>
              <w:t>50</w:t>
            </w:r>
            <w:r>
              <w:rPr>
                <w:rFonts w:hint="eastAsia" w:ascii="宋体" w:hAnsi="宋体" w:eastAsia="宋体" w:cs="宋体"/>
                <w:kern w:val="0"/>
                <w:sz w:val="21"/>
                <w:szCs w:val="21"/>
              </w:rPr>
              <w:t>%）</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企业情况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highlight w:val="none"/>
                <w:lang w:val="en-US" w:eastAsia="zh-CN"/>
              </w:rPr>
              <w:t>10</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根据供应商的整体概况、内部管理制度等进行评审：</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1.整体企业结构详细、完整，制度完善，得10分；</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2.整体企业结构较详细、完整，制度基本齐全，得6分；</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3.整体企业结构混乱，制度不齐全，得2分；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4.其他或不提供不得分。</w:t>
            </w:r>
          </w:p>
        </w:tc>
        <w:tc>
          <w:tcPr>
            <w:tcW w:w="1557" w:type="dxa"/>
            <w:vMerge w:val="restart"/>
            <w:tcBorders>
              <w:top w:val="single" w:color="000000" w:sz="4" w:space="0"/>
              <w:left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lang w:val="en-US" w:eastAsia="zh-CN"/>
              </w:rPr>
            </w:pPr>
          </w:p>
        </w:tc>
      </w:tr>
      <w:tr>
        <w:tblPrEx>
          <w:tblCellMar>
            <w:top w:w="0" w:type="dxa"/>
            <w:left w:w="108" w:type="dxa"/>
            <w:bottom w:w="0" w:type="dxa"/>
            <w:right w:w="108" w:type="dxa"/>
          </w:tblCellMar>
        </w:tblPrEx>
        <w:trPr>
          <w:cantSplit/>
          <w:trHeight w:val="832" w:hRule="atLeast"/>
        </w:trPr>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项目经验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根据供应商自2019年起至今完成的同类项目业绩进行评分：每个符合要求的业绩得3分，最高得20分。</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注：以供应商提供的业绩证明【合同】复印件为评分依据，未能提供上述证明文件的，该项业绩不得分。</w:t>
            </w:r>
          </w:p>
        </w:tc>
        <w:tc>
          <w:tcPr>
            <w:tcW w:w="1557" w:type="dxa"/>
            <w:vMerge w:val="continue"/>
            <w:tcBorders>
              <w:left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lang w:val="en-US" w:eastAsia="zh-CN"/>
              </w:rPr>
            </w:pPr>
          </w:p>
        </w:tc>
      </w:tr>
      <w:tr>
        <w:tblPrEx>
          <w:tblCellMar>
            <w:top w:w="0" w:type="dxa"/>
            <w:left w:w="108" w:type="dxa"/>
            <w:bottom w:w="0" w:type="dxa"/>
            <w:right w:w="108" w:type="dxa"/>
          </w:tblCellMar>
        </w:tblPrEx>
        <w:trPr>
          <w:cantSplit/>
          <w:trHeight w:val="858" w:hRule="atLeast"/>
        </w:trPr>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项目团队能力</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15</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根据供应商对拟投入本项目团队的工作经验、专业情况进行评审：</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1.人员专业性强、工作经验丰富的，得15分；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2.人员专业性较强、有一定工作经验的，得10分；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3.人员专业性一般、工作经验较少的，得5分；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4.其他或没有提供不得分。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（须提供：①相关证书复印件②聘用劳动合同复印件作为证明材料，不提供不得分。）</w:t>
            </w:r>
          </w:p>
        </w:tc>
        <w:tc>
          <w:tcPr>
            <w:tcW w:w="1557"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lang w:val="en-US" w:eastAsia="zh-CN"/>
              </w:rPr>
            </w:pPr>
          </w:p>
        </w:tc>
      </w:tr>
      <w:tr>
        <w:tblPrEx>
          <w:tblCellMar>
            <w:top w:w="0" w:type="dxa"/>
            <w:left w:w="108" w:type="dxa"/>
            <w:bottom w:w="0" w:type="dxa"/>
            <w:right w:w="108" w:type="dxa"/>
          </w:tblCellMar>
        </w:tblPrEx>
        <w:trPr>
          <w:cantSplit/>
          <w:trHeight w:val="1363" w:hRule="atLeast"/>
        </w:trPr>
        <w:tc>
          <w:tcPr>
            <w:tcW w:w="1418" w:type="dxa"/>
            <w:tcBorders>
              <w:top w:val="single" w:color="auto"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商务部分</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（权重50%）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后续服务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根据供应商针对本项目提供的后续服务措施进行评分：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1.后续服务措施详细可行，积极配合采购人验收和其它后续工作，得5分；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2.后续服务措施一般、能配合采购人验收和其它后续工作，得3分；</w:t>
            </w:r>
          </w:p>
          <w:p>
            <w:pPr>
              <w:widowControl/>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3.没有提供后续服务措施不得分。</w:t>
            </w:r>
          </w:p>
        </w:tc>
        <w:tc>
          <w:tcPr>
            <w:tcW w:w="1557"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22" w:hRule="atLeast"/>
        </w:trPr>
        <w:tc>
          <w:tcPr>
            <w:tcW w:w="1418" w:type="dxa"/>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技术部分</w:t>
            </w:r>
          </w:p>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（权重</w:t>
            </w:r>
            <w:r>
              <w:rPr>
                <w:rFonts w:hint="eastAsia" w:ascii="宋体" w:hAnsi="宋体" w:eastAsia="宋体" w:cs="宋体"/>
                <w:color w:val="auto"/>
                <w:kern w:val="0"/>
                <w:sz w:val="21"/>
                <w:szCs w:val="21"/>
                <w:lang w:val="en-US" w:eastAsia="zh-CN"/>
              </w:rPr>
              <w:t>40</w:t>
            </w:r>
            <w:r>
              <w:rPr>
                <w:rFonts w:hint="eastAsia" w:ascii="宋体" w:hAnsi="宋体" w:eastAsia="宋体" w:cs="宋体"/>
                <w:color w:val="auto"/>
                <w:kern w:val="0"/>
                <w:sz w:val="21"/>
                <w:szCs w:val="21"/>
              </w:rPr>
              <w:t>%）</w:t>
            </w:r>
          </w:p>
        </w:tc>
        <w:tc>
          <w:tcPr>
            <w:tcW w:w="1984" w:type="dxa"/>
            <w:tcBorders>
              <w:top w:val="single" w:color="auto" w:sz="4" w:space="0"/>
              <w:left w:val="nil"/>
              <w:bottom w:val="single" w:color="auto" w:sz="4" w:space="0"/>
              <w:right w:val="nil"/>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对本项目的背景和工作内容的理解和分析</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lang w:val="en-US"/>
              </w:rPr>
            </w:pPr>
            <w:r>
              <w:rPr>
                <w:rFonts w:hint="eastAsia" w:ascii="宋体" w:hAnsi="宋体" w:cs="宋体"/>
                <w:color w:val="auto"/>
                <w:kern w:val="0"/>
                <w:sz w:val="21"/>
                <w:szCs w:val="21"/>
                <w:lang w:val="en-US" w:eastAsia="zh-CN"/>
              </w:rPr>
              <w:t>10</w:t>
            </w:r>
          </w:p>
        </w:tc>
        <w:tc>
          <w:tcPr>
            <w:tcW w:w="7799" w:type="dxa"/>
            <w:tcBorders>
              <w:top w:val="single" w:color="auto" w:sz="4" w:space="0"/>
              <w:left w:val="nil"/>
              <w:bottom w:val="single" w:color="auto" w:sz="4" w:space="0"/>
              <w:right w:val="nil"/>
            </w:tcBorders>
            <w:noWrap w:val="0"/>
            <w:vAlign w:val="center"/>
          </w:tcPr>
          <w:p>
            <w:pPr>
              <w:rPr>
                <w:rFonts w:hint="eastAsia" w:ascii="Times New Roman" w:hAnsi="Times New Roman"/>
                <w:color w:val="000000"/>
                <w:kern w:val="0"/>
                <w:szCs w:val="21"/>
                <w:lang w:eastAsia="zh-CN"/>
              </w:rPr>
            </w:pPr>
            <w:r>
              <w:rPr>
                <w:rFonts w:hint="eastAsia" w:ascii="Times New Roman" w:hAnsi="Times New Roman"/>
                <w:color w:val="000000"/>
                <w:kern w:val="0"/>
                <w:szCs w:val="21"/>
                <w:lang w:eastAsia="zh-CN"/>
              </w:rPr>
              <w:t>根据供应商对本项目的理解程度以及对服务需求的理解、响应程度进行评审：</w:t>
            </w:r>
          </w:p>
          <w:p>
            <w:pPr>
              <w:rPr>
                <w:rFonts w:hint="eastAsia" w:ascii="Times New Roman" w:hAnsi="Times New Roman"/>
                <w:color w:val="000000"/>
                <w:kern w:val="0"/>
                <w:szCs w:val="21"/>
                <w:lang w:eastAsia="zh-CN"/>
              </w:rPr>
            </w:pPr>
            <w:r>
              <w:rPr>
                <w:rFonts w:hint="eastAsia" w:ascii="Times New Roman" w:hAnsi="Times New Roman"/>
                <w:color w:val="000000"/>
                <w:kern w:val="0"/>
                <w:szCs w:val="21"/>
                <w:lang w:eastAsia="zh-CN"/>
              </w:rPr>
              <w:t>1.项目理解及需求分析合理、全面，得10分；</w:t>
            </w:r>
          </w:p>
          <w:p>
            <w:pPr>
              <w:rPr>
                <w:rFonts w:hint="eastAsia" w:ascii="Times New Roman" w:hAnsi="Times New Roman"/>
                <w:color w:val="000000"/>
                <w:kern w:val="0"/>
                <w:szCs w:val="21"/>
                <w:lang w:eastAsia="zh-CN"/>
              </w:rPr>
            </w:pPr>
            <w:r>
              <w:rPr>
                <w:rFonts w:hint="eastAsia" w:ascii="Times New Roman" w:hAnsi="Times New Roman"/>
                <w:color w:val="000000"/>
                <w:kern w:val="0"/>
                <w:szCs w:val="21"/>
                <w:lang w:eastAsia="zh-CN"/>
              </w:rPr>
              <w:t>2.项目理解及需求分析较合理、较全面，得6分；</w:t>
            </w:r>
          </w:p>
          <w:p>
            <w:pPr>
              <w:rPr>
                <w:rFonts w:hint="eastAsia" w:ascii="Times New Roman" w:hAnsi="Times New Roman"/>
                <w:color w:val="000000"/>
                <w:kern w:val="0"/>
                <w:szCs w:val="21"/>
                <w:lang w:eastAsia="zh-CN"/>
              </w:rPr>
            </w:pPr>
            <w:r>
              <w:rPr>
                <w:rFonts w:hint="eastAsia" w:ascii="Times New Roman" w:hAnsi="Times New Roman"/>
                <w:color w:val="000000"/>
                <w:kern w:val="0"/>
                <w:szCs w:val="21"/>
                <w:lang w:eastAsia="zh-CN"/>
              </w:rPr>
              <w:t>3.项目理解及需求分析不合理、不全面，得3分；</w:t>
            </w:r>
          </w:p>
          <w:p>
            <w:pPr>
              <w:rPr>
                <w:rFonts w:hint="eastAsia" w:eastAsia="宋体"/>
                <w:lang w:val="en-US" w:eastAsia="zh-CN"/>
              </w:rPr>
            </w:pPr>
            <w:r>
              <w:rPr>
                <w:rFonts w:hint="eastAsia" w:ascii="Times New Roman" w:hAnsi="Times New Roman"/>
                <w:color w:val="000000"/>
                <w:kern w:val="0"/>
                <w:szCs w:val="21"/>
                <w:lang w:eastAsia="zh-CN"/>
              </w:rPr>
              <w:t>4.其他或不提供不得分。</w:t>
            </w:r>
          </w:p>
        </w:tc>
        <w:tc>
          <w:tcPr>
            <w:tcW w:w="1557"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22" w:hRule="atLeast"/>
        </w:trPr>
        <w:tc>
          <w:tcPr>
            <w:tcW w:w="141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color w:val="auto"/>
                <w:kern w:val="0"/>
                <w:sz w:val="21"/>
                <w:szCs w:val="21"/>
              </w:rPr>
            </w:pPr>
          </w:p>
        </w:tc>
        <w:tc>
          <w:tcPr>
            <w:tcW w:w="1984" w:type="dxa"/>
            <w:tcBorders>
              <w:top w:val="single" w:color="000000" w:sz="4" w:space="0"/>
              <w:left w:val="nil"/>
              <w:bottom w:val="single" w:color="auto" w:sz="4" w:space="0"/>
              <w:right w:val="nil"/>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开展此项工作的优势与有利条件</w:t>
            </w:r>
          </w:p>
        </w:tc>
        <w:tc>
          <w:tcPr>
            <w:tcW w:w="1276"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12</w:t>
            </w:r>
          </w:p>
        </w:tc>
        <w:tc>
          <w:tcPr>
            <w:tcW w:w="7799" w:type="dxa"/>
            <w:tcBorders>
              <w:top w:val="single" w:color="000000" w:sz="4" w:space="0"/>
              <w:left w:val="nil"/>
              <w:bottom w:val="single" w:color="auto" w:sz="4" w:space="0"/>
              <w:right w:val="nil"/>
            </w:tcBorders>
            <w:noWrap w:val="0"/>
            <w:vAlign w:val="center"/>
          </w:tcPr>
          <w:p>
            <w:pPr>
              <w:rPr>
                <w:rFonts w:hint="eastAsia" w:ascii="宋体" w:hAnsi="宋体"/>
                <w:color w:val="000000"/>
                <w:szCs w:val="21"/>
              </w:rPr>
            </w:pPr>
            <w:r>
              <w:rPr>
                <w:rFonts w:hint="eastAsia" w:ascii="宋体" w:hAnsi="宋体"/>
                <w:color w:val="000000"/>
                <w:szCs w:val="21"/>
              </w:rPr>
              <w:t>根据供应商关于其承接本项目的业务能力和优势的相关阐述进行评审：</w:t>
            </w:r>
          </w:p>
          <w:p>
            <w:pPr>
              <w:rPr>
                <w:rFonts w:hint="eastAsia" w:ascii="宋体" w:hAnsi="宋体"/>
                <w:color w:val="000000"/>
                <w:szCs w:val="21"/>
              </w:rPr>
            </w:pPr>
            <w:r>
              <w:rPr>
                <w:rFonts w:hint="eastAsia" w:ascii="宋体" w:hAnsi="宋体"/>
                <w:color w:val="000000"/>
                <w:szCs w:val="21"/>
              </w:rPr>
              <w:t>1.阐述详细、合理，具有开展本项目工作的优势与有利条件，得12分；</w:t>
            </w:r>
          </w:p>
          <w:p>
            <w:pPr>
              <w:rPr>
                <w:rFonts w:hint="eastAsia" w:ascii="宋体" w:hAnsi="宋体"/>
                <w:color w:val="000000"/>
                <w:szCs w:val="21"/>
              </w:rPr>
            </w:pPr>
            <w:r>
              <w:rPr>
                <w:rFonts w:hint="eastAsia" w:ascii="宋体" w:hAnsi="宋体"/>
                <w:color w:val="000000"/>
                <w:szCs w:val="21"/>
              </w:rPr>
              <w:t>2.阐述较合理，具有开展本项目工作的优势与有利条件，得8分；</w:t>
            </w:r>
          </w:p>
          <w:p>
            <w:pPr>
              <w:rPr>
                <w:rFonts w:hint="eastAsia" w:ascii="宋体" w:hAnsi="宋体"/>
                <w:color w:val="000000"/>
                <w:szCs w:val="21"/>
              </w:rPr>
            </w:pPr>
            <w:r>
              <w:rPr>
                <w:rFonts w:hint="eastAsia" w:ascii="宋体" w:hAnsi="宋体"/>
                <w:color w:val="000000"/>
                <w:szCs w:val="21"/>
              </w:rPr>
              <w:t>3.阐述一般，开展本项目工作的优势与有利条件一般，得5分；</w:t>
            </w:r>
          </w:p>
          <w:p>
            <w:pPr>
              <w:rPr>
                <w:rFonts w:hint="eastAsia" w:ascii="宋体" w:hAnsi="宋体"/>
                <w:color w:val="000000"/>
                <w:szCs w:val="21"/>
              </w:rPr>
            </w:pPr>
            <w:r>
              <w:rPr>
                <w:rFonts w:hint="eastAsia" w:ascii="宋体" w:hAnsi="宋体"/>
                <w:color w:val="000000"/>
                <w:szCs w:val="21"/>
              </w:rPr>
              <w:t>4.其他情况或不提供不得分。</w:t>
            </w:r>
          </w:p>
        </w:tc>
        <w:tc>
          <w:tcPr>
            <w:tcW w:w="1557"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22" w:hRule="atLeast"/>
        </w:trPr>
        <w:tc>
          <w:tcPr>
            <w:tcW w:w="141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color w:val="auto"/>
                <w:kern w:val="0"/>
                <w:sz w:val="21"/>
                <w:szCs w:val="21"/>
              </w:rPr>
            </w:pPr>
          </w:p>
        </w:tc>
        <w:tc>
          <w:tcPr>
            <w:tcW w:w="1984" w:type="dxa"/>
            <w:tcBorders>
              <w:top w:val="single" w:color="000000" w:sz="4" w:space="0"/>
              <w:left w:val="nil"/>
              <w:bottom w:val="single" w:color="auto" w:sz="4" w:space="0"/>
              <w:right w:val="nil"/>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工作进度及质量保障措施</w:t>
            </w:r>
          </w:p>
        </w:tc>
        <w:tc>
          <w:tcPr>
            <w:tcW w:w="1276"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13</w:t>
            </w:r>
          </w:p>
        </w:tc>
        <w:tc>
          <w:tcPr>
            <w:tcW w:w="7799" w:type="dxa"/>
            <w:tcBorders>
              <w:top w:val="single" w:color="000000" w:sz="4" w:space="0"/>
              <w:left w:val="nil"/>
              <w:bottom w:val="single" w:color="auto" w:sz="4" w:space="0"/>
              <w:right w:val="nil"/>
            </w:tcBorders>
            <w:noWrap w:val="0"/>
            <w:vAlign w:val="center"/>
          </w:tcPr>
          <w:p>
            <w:pPr>
              <w:rPr>
                <w:rFonts w:hint="eastAsia" w:ascii="宋体" w:hAnsi="宋体"/>
                <w:color w:val="000000"/>
                <w:szCs w:val="21"/>
              </w:rPr>
            </w:pPr>
            <w:r>
              <w:rPr>
                <w:rFonts w:hint="eastAsia" w:ascii="宋体" w:hAnsi="宋体"/>
                <w:color w:val="000000"/>
                <w:szCs w:val="21"/>
              </w:rPr>
              <w:t>根据供应商对本项目的质量保障措施及方案的可靠性相关阐述进行评审：</w:t>
            </w:r>
          </w:p>
          <w:p>
            <w:pPr>
              <w:rPr>
                <w:rFonts w:hint="eastAsia" w:ascii="宋体" w:hAnsi="宋体"/>
                <w:color w:val="000000"/>
                <w:szCs w:val="21"/>
              </w:rPr>
            </w:pPr>
            <w:r>
              <w:rPr>
                <w:rFonts w:hint="eastAsia" w:ascii="宋体" w:hAnsi="宋体"/>
                <w:color w:val="000000"/>
                <w:szCs w:val="21"/>
              </w:rPr>
              <w:t>1.措施内容全面，程序合理，针对性、操作性强，能充分保障项目推进的，得13分；</w:t>
            </w:r>
          </w:p>
          <w:p>
            <w:pPr>
              <w:rPr>
                <w:rFonts w:hint="eastAsia" w:ascii="宋体" w:hAnsi="宋体"/>
                <w:color w:val="000000"/>
                <w:szCs w:val="21"/>
              </w:rPr>
            </w:pPr>
            <w:r>
              <w:rPr>
                <w:rFonts w:hint="eastAsia" w:ascii="宋体" w:hAnsi="宋体"/>
                <w:color w:val="000000"/>
                <w:szCs w:val="21"/>
              </w:rPr>
              <w:t>2.措施一般，针对性、操作性一般，可基本保障项目推进的，得9分；</w:t>
            </w:r>
          </w:p>
          <w:p>
            <w:pPr>
              <w:rPr>
                <w:rFonts w:hint="eastAsia" w:ascii="宋体" w:hAnsi="宋体"/>
                <w:color w:val="000000"/>
                <w:szCs w:val="21"/>
              </w:rPr>
            </w:pPr>
            <w:r>
              <w:rPr>
                <w:rFonts w:hint="eastAsia" w:ascii="宋体" w:hAnsi="宋体"/>
                <w:color w:val="000000"/>
                <w:szCs w:val="21"/>
              </w:rPr>
              <w:t>3.措施较差，针对性、操作性不强，不能全面保障项目推进的，得5分；</w:t>
            </w:r>
          </w:p>
          <w:p>
            <w:pPr>
              <w:rPr>
                <w:rFonts w:hint="eastAsia" w:ascii="宋体" w:hAnsi="宋体"/>
                <w:color w:val="000000"/>
                <w:szCs w:val="21"/>
              </w:rPr>
            </w:pPr>
            <w:r>
              <w:rPr>
                <w:rFonts w:hint="eastAsia" w:ascii="宋体" w:hAnsi="宋体"/>
                <w:color w:val="000000"/>
                <w:szCs w:val="21"/>
              </w:rPr>
              <w:t>4.其他情况或不提供不得分。</w:t>
            </w:r>
          </w:p>
        </w:tc>
        <w:tc>
          <w:tcPr>
            <w:tcW w:w="1557"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22" w:hRule="atLeast"/>
        </w:trPr>
        <w:tc>
          <w:tcPr>
            <w:tcW w:w="141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color w:val="auto"/>
                <w:kern w:val="0"/>
                <w:sz w:val="21"/>
                <w:szCs w:val="21"/>
              </w:rPr>
            </w:pPr>
          </w:p>
        </w:tc>
        <w:tc>
          <w:tcPr>
            <w:tcW w:w="1984" w:type="dxa"/>
            <w:tcBorders>
              <w:top w:val="single" w:color="000000" w:sz="4" w:space="0"/>
              <w:left w:val="nil"/>
              <w:bottom w:val="single" w:color="auto" w:sz="4" w:space="0"/>
              <w:right w:val="nil"/>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重点、难点分析及解决方案</w:t>
            </w:r>
          </w:p>
        </w:tc>
        <w:tc>
          <w:tcPr>
            <w:tcW w:w="1276"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5</w:t>
            </w:r>
          </w:p>
        </w:tc>
        <w:tc>
          <w:tcPr>
            <w:tcW w:w="7799" w:type="dxa"/>
            <w:tcBorders>
              <w:top w:val="single" w:color="000000" w:sz="4" w:space="0"/>
              <w:left w:val="nil"/>
              <w:bottom w:val="single" w:color="auto" w:sz="4" w:space="0"/>
              <w:right w:val="nil"/>
            </w:tcBorders>
            <w:noWrap w:val="0"/>
            <w:vAlign w:val="center"/>
          </w:tcPr>
          <w:p>
            <w:pPr>
              <w:rPr>
                <w:rFonts w:hint="eastAsia" w:ascii="宋体" w:hAnsi="宋体"/>
                <w:color w:val="000000"/>
                <w:szCs w:val="21"/>
              </w:rPr>
            </w:pPr>
            <w:r>
              <w:rPr>
                <w:rFonts w:hint="eastAsia" w:ascii="宋体" w:hAnsi="宋体"/>
                <w:color w:val="000000"/>
                <w:szCs w:val="21"/>
              </w:rPr>
              <w:t>根据供应商对本项目的重点、难点分析及解决方案相关阐述进行评审：</w:t>
            </w:r>
          </w:p>
          <w:p>
            <w:pPr>
              <w:rPr>
                <w:rFonts w:hint="eastAsia" w:ascii="宋体" w:hAnsi="宋体"/>
                <w:color w:val="000000"/>
                <w:szCs w:val="21"/>
              </w:rPr>
            </w:pPr>
            <w:r>
              <w:rPr>
                <w:rFonts w:hint="eastAsia" w:ascii="宋体" w:hAnsi="宋体"/>
                <w:color w:val="000000"/>
                <w:szCs w:val="21"/>
              </w:rPr>
              <w:t>1.对本项目的重点、难点分析准确、透彻，解决方案合理可行，得5分；</w:t>
            </w:r>
          </w:p>
          <w:p>
            <w:pPr>
              <w:rPr>
                <w:rFonts w:hint="eastAsia" w:ascii="宋体" w:hAnsi="宋体"/>
                <w:color w:val="000000"/>
                <w:szCs w:val="21"/>
              </w:rPr>
            </w:pPr>
            <w:r>
              <w:rPr>
                <w:rFonts w:hint="eastAsia" w:ascii="宋体" w:hAnsi="宋体"/>
                <w:color w:val="000000"/>
                <w:szCs w:val="21"/>
              </w:rPr>
              <w:t>2.对本项目的重点、难点分析一般，解决方案一般，得2分；</w:t>
            </w:r>
          </w:p>
          <w:p>
            <w:pPr>
              <w:rPr>
                <w:rFonts w:hint="eastAsia" w:ascii="宋体" w:hAnsi="宋体"/>
                <w:color w:val="000000"/>
                <w:szCs w:val="21"/>
              </w:rPr>
            </w:pPr>
            <w:r>
              <w:rPr>
                <w:rFonts w:hint="eastAsia" w:ascii="宋体" w:hAnsi="宋体"/>
                <w:color w:val="000000"/>
                <w:szCs w:val="21"/>
              </w:rPr>
              <w:t>3.对本项目的重点、难点分析不准确，解决方案不会合理，得1分；</w:t>
            </w:r>
          </w:p>
          <w:p>
            <w:pPr>
              <w:rPr>
                <w:rFonts w:hint="eastAsia" w:ascii="宋体" w:hAnsi="宋体"/>
                <w:color w:val="000000"/>
                <w:szCs w:val="21"/>
              </w:rPr>
            </w:pPr>
            <w:r>
              <w:rPr>
                <w:rFonts w:hint="eastAsia" w:ascii="宋体" w:hAnsi="宋体"/>
                <w:color w:val="000000"/>
                <w:szCs w:val="21"/>
              </w:rPr>
              <w:t>4.其他情况或不提供不得分。</w:t>
            </w:r>
          </w:p>
        </w:tc>
        <w:tc>
          <w:tcPr>
            <w:tcW w:w="1557"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0" w:hRule="atLeast"/>
        </w:trPr>
        <w:tc>
          <w:tcPr>
            <w:tcW w:w="1247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  计</w:t>
            </w:r>
          </w:p>
        </w:tc>
        <w:tc>
          <w:tcPr>
            <w:tcW w:w="1557"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headerReference r:id="rId3" w:type="default"/>
      <w:footerReference r:id="rId4" w:type="default"/>
      <w:pgSz w:w="16838" w:h="11906" w:orient="landscape"/>
      <w:pgMar w:top="1814"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50"/>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C2C1E"/>
    <w:rsid w:val="1C1B7058"/>
    <w:rsid w:val="39122834"/>
    <w:rsid w:val="57D6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after="120"/>
      <w:jc w:val="left"/>
    </w:pPr>
    <w:rPr>
      <w:rFonts w:ascii="Times New Roman" w:hAnsi="Times New Roman"/>
      <w:kern w:val="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2021-09-13T09:54:00Z</dcterms:created>
  <dc:creator>admin</dc:creator>
  <cp:lastModifiedBy>赖声圣</cp:lastModifiedBy>
  <cp:lastPrinted>2022-04-15T02:28:45Z</cp:lastPrinted>
  <dcterms:modified xsi:type="dcterms:W3CDTF">2022-04-15T02:45:08Z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